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9E" w:rsidRPr="007226DB" w:rsidRDefault="00DE3C9E" w:rsidP="00DE3C9E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7226DB">
        <w:rPr>
          <w:rFonts w:ascii="Meiryo UI" w:eastAsia="Meiryo UI" w:hAnsi="Meiryo UI" w:cs="Meiryo UI"/>
          <w:sz w:val="28"/>
          <w:szCs w:val="28"/>
        </w:rPr>
        <w:t>〔英文シラバス作成用フォーマット〕</w:t>
      </w:r>
    </w:p>
    <w:p w:rsidR="00DE3C9E" w:rsidRPr="007226DB" w:rsidRDefault="00DE3C9E" w:rsidP="00DE3C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3"/>
        <w:gridCol w:w="5191"/>
      </w:tblGrid>
      <w:tr w:rsidR="00DE3C9E" w:rsidRPr="007226DB" w:rsidTr="00DD366E">
        <w:tc>
          <w:tcPr>
            <w:tcW w:w="3369" w:type="dxa"/>
          </w:tcPr>
          <w:p w:rsidR="00DE3C9E" w:rsidRPr="007226DB" w:rsidRDefault="00DE3C9E" w:rsidP="00DD366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226DB">
              <w:rPr>
                <w:rFonts w:ascii="Meiryo UI" w:eastAsia="Meiryo UI" w:hAnsi="Meiryo UI" w:cs="Meiryo UI"/>
                <w:b/>
                <w:sz w:val="20"/>
                <w:szCs w:val="20"/>
              </w:rPr>
              <w:t>科目名（Subject）</w:t>
            </w:r>
          </w:p>
          <w:p w:rsidR="00DE3C9E" w:rsidRPr="007226DB" w:rsidRDefault="00DE3C9E" w:rsidP="00DD366E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5333" w:type="dxa"/>
            <w:vAlign w:val="center"/>
          </w:tcPr>
          <w:p w:rsidR="00DE3C9E" w:rsidRPr="007226DB" w:rsidRDefault="006A65D1" w:rsidP="006A65D1">
            <w:r w:rsidRPr="006A65D1">
              <w:t>Physical Communication</w:t>
            </w:r>
          </w:p>
        </w:tc>
      </w:tr>
      <w:tr w:rsidR="00DE3C9E" w:rsidRPr="007226DB" w:rsidTr="00DD366E">
        <w:tc>
          <w:tcPr>
            <w:tcW w:w="3369" w:type="dxa"/>
          </w:tcPr>
          <w:p w:rsidR="00DE3C9E" w:rsidRPr="007226DB" w:rsidRDefault="00DE3C9E" w:rsidP="00DD366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226DB">
              <w:rPr>
                <w:rFonts w:ascii="Meiryo UI" w:eastAsia="Meiryo UI" w:hAnsi="Meiryo UI" w:cs="Meiryo UI"/>
                <w:b/>
                <w:sz w:val="20"/>
                <w:szCs w:val="20"/>
              </w:rPr>
              <w:t>担当者名（Instructor）</w:t>
            </w:r>
          </w:p>
          <w:p w:rsidR="00DE3C9E" w:rsidRPr="007226DB" w:rsidRDefault="00DE3C9E" w:rsidP="00DD366E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5333" w:type="dxa"/>
            <w:vAlign w:val="center"/>
          </w:tcPr>
          <w:p w:rsidR="00DE3C9E" w:rsidRPr="007226DB" w:rsidRDefault="00DE3C9E" w:rsidP="00DD366E">
            <w:r w:rsidRPr="007226DB">
              <w:t>Bin Umino</w:t>
            </w:r>
          </w:p>
        </w:tc>
      </w:tr>
      <w:tr w:rsidR="00DE3C9E" w:rsidRPr="007226DB" w:rsidTr="00DD366E">
        <w:tc>
          <w:tcPr>
            <w:tcW w:w="3369" w:type="dxa"/>
          </w:tcPr>
          <w:p w:rsidR="00DE3C9E" w:rsidRPr="007226DB" w:rsidRDefault="00DE3C9E" w:rsidP="00DD366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226DB">
              <w:rPr>
                <w:rFonts w:ascii="Meiryo UI" w:eastAsia="Meiryo UI" w:hAnsi="Meiryo UI" w:cs="Meiryo UI"/>
                <w:b/>
                <w:sz w:val="20"/>
                <w:szCs w:val="20"/>
              </w:rPr>
              <w:t>開講学期・曜日時限（Schedule）</w:t>
            </w:r>
          </w:p>
          <w:p w:rsidR="00DE3C9E" w:rsidRPr="007226DB" w:rsidRDefault="00DE3C9E" w:rsidP="00DD366E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5333" w:type="dxa"/>
            <w:vAlign w:val="center"/>
          </w:tcPr>
          <w:p w:rsidR="00DE3C9E" w:rsidRPr="007226DB" w:rsidRDefault="00DE3C9E" w:rsidP="00185634">
            <w:r w:rsidRPr="007226DB">
              <w:t xml:space="preserve">Thu </w:t>
            </w:r>
            <w:r w:rsidR="00185634">
              <w:t>1</w:t>
            </w:r>
            <w:r w:rsidRPr="007226DB">
              <w:t xml:space="preserve"> / </w:t>
            </w:r>
            <w:r w:rsidR="00185634">
              <w:t>Fall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7226DB" w:rsidRDefault="00375C7F" w:rsidP="0050406C">
            <w:pPr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7226DB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【サブタイトル（Sub-Title）】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185634" w:rsidP="00185634">
            <w:pPr>
              <w:rPr>
                <w:b w:val="0"/>
              </w:rPr>
            </w:pPr>
            <w:r>
              <w:t>Human body as communication media</w:t>
            </w:r>
            <w:bookmarkStart w:id="0" w:name="_GoBack"/>
            <w:bookmarkEnd w:id="0"/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840FB2" w:rsidRDefault="00375C7F" w:rsidP="0050406C">
            <w:pPr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7226DB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【講義の目的・内容（Course Purpose and Content）】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185634" w:rsidRDefault="008B21A4" w:rsidP="00DD366E">
            <w:r>
              <w:rPr>
                <w:rFonts w:hint="eastAsia"/>
              </w:rPr>
              <w:t xml:space="preserve">　</w:t>
            </w:r>
            <w:r w:rsidR="00DE3C9E" w:rsidRPr="007226DB">
              <w:t xml:space="preserve">The purpose of this course is to examine </w:t>
            </w:r>
            <w:r w:rsidR="00185634">
              <w:t>physical communicaion</w:t>
            </w:r>
            <w:r w:rsidR="00DE3C9E" w:rsidRPr="007226DB">
              <w:t xml:space="preserve"> </w:t>
            </w:r>
            <w:r w:rsidR="00185634">
              <w:t>where messages are expressed throught human bodies</w:t>
            </w:r>
            <w:r>
              <w:t xml:space="preserve"> without machinery</w:t>
            </w:r>
            <w:r w:rsidR="00185634">
              <w:t xml:space="preserve"> such as </w:t>
            </w:r>
            <w:r w:rsidR="00AD755A">
              <w:t xml:space="preserve">natural voices, </w:t>
            </w:r>
            <w:r w:rsidR="00185634">
              <w:t>body language</w:t>
            </w:r>
            <w:r w:rsidR="00AD755A">
              <w:t>s</w:t>
            </w:r>
            <w:r w:rsidR="00185634">
              <w:t>, hand signal</w:t>
            </w:r>
            <w:r w:rsidR="00AD755A">
              <w:t>s</w:t>
            </w:r>
            <w:r w:rsidR="00185634">
              <w:t xml:space="preserve">, </w:t>
            </w:r>
            <w:r w:rsidR="00AD755A">
              <w:t xml:space="preserve">and dance performances. </w:t>
            </w:r>
            <w:r w:rsidR="00DE3C9E" w:rsidRPr="007226DB">
              <w:t xml:space="preserve"> We are going to think academically about what information media is, how information can be </w:t>
            </w:r>
            <w:r w:rsidR="00AD755A">
              <w:t>expresse</w:t>
            </w:r>
            <w:r w:rsidR="00DE3C9E" w:rsidRPr="007226DB">
              <w:t>d</w:t>
            </w:r>
            <w:r w:rsidR="00AD755A">
              <w:t xml:space="preserve"> by human bodies</w:t>
            </w:r>
            <w:r w:rsidR="00DE3C9E" w:rsidRPr="007226DB">
              <w:t xml:space="preserve">, and why </w:t>
            </w:r>
            <w:r w:rsidR="00AD755A">
              <w:t>physical communication is both indispensable and important for our society</w:t>
            </w:r>
            <w:r w:rsidR="00DE3C9E" w:rsidRPr="007226DB">
              <w:t>.</w:t>
            </w:r>
            <w:r>
              <w:t xml:space="preserve">  </w:t>
            </w:r>
            <w:r w:rsidRPr="007226DB">
              <w:t xml:space="preserve">In this course students are required to seriously think about what </w:t>
            </w:r>
            <w:r>
              <w:t xml:space="preserve">physical communication </w:t>
            </w:r>
            <w:r w:rsidRPr="007226DB">
              <w:t>is through lectures on basic concepts and terms.</w:t>
            </w:r>
          </w:p>
          <w:p w:rsidR="00DE3C9E" w:rsidRPr="00AD755A" w:rsidRDefault="008B21A4" w:rsidP="001D58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D755A">
              <w:rPr>
                <w:rFonts w:hint="eastAsia"/>
              </w:rPr>
              <w:t>The course are divided four sections: (1)</w:t>
            </w:r>
            <w:r w:rsidR="00AD755A">
              <w:t>overview of physical communication, (2)dance performances as communication media, (3)human body and digital-networked society, (4)nonverbal communication.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840FB2" w:rsidRDefault="00375C7F" w:rsidP="0050406C">
            <w:pPr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732D89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【学修到達目標（Learning Objectives）】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7226DB" w:rsidRDefault="008B21A4" w:rsidP="00DD366E">
            <w:pPr>
              <w:rPr>
                <w:b w:val="0"/>
              </w:rPr>
            </w:pPr>
            <w:r>
              <w:rPr>
                <w:rFonts w:hint="eastAsia"/>
              </w:rPr>
              <w:t xml:space="preserve">　</w:t>
            </w:r>
            <w:r w:rsidR="00DE3C9E" w:rsidRPr="007226DB">
              <w:t xml:space="preserve">After completing the course, students will improve their ability to: 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1. understand the diversity and influence of </w:t>
            </w:r>
            <w:r w:rsidR="00AD755A">
              <w:t>physical communication</w:t>
            </w:r>
            <w:r w:rsidRPr="007226DB">
              <w:t xml:space="preserve"> in societies. [cognition]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2. recognize the importance and various methods of </w:t>
            </w:r>
            <w:r w:rsidR="00AD755A">
              <w:t>expression using human bodies</w:t>
            </w:r>
            <w:r w:rsidRPr="007226DB">
              <w:t>. [cognition]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3. examine the </w:t>
            </w:r>
            <w:r w:rsidR="00AD755A">
              <w:t xml:space="preserve">strained relations between </w:t>
            </w:r>
            <w:r w:rsidR="001D58F7">
              <w:t>human body and digital-networked society</w:t>
            </w:r>
            <w:r w:rsidRPr="007226DB">
              <w:t>. [cognition]</w:t>
            </w:r>
          </w:p>
          <w:p w:rsidR="00DE3C9E" w:rsidRPr="007226DB" w:rsidRDefault="00DE3C9E" w:rsidP="001D58F7">
            <w:pPr>
              <w:rPr>
                <w:b w:val="0"/>
              </w:rPr>
            </w:pPr>
            <w:r w:rsidRPr="007226DB">
              <w:t xml:space="preserve">4. read academic books and articles about </w:t>
            </w:r>
            <w:r w:rsidR="001D58F7">
              <w:t>physical communication</w:t>
            </w:r>
            <w:r w:rsidRPr="007226DB">
              <w:t xml:space="preserve"> by themselves and discuss the problems from their own points of view. [attitude and skill]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840FB2" w:rsidRDefault="00375C7F" w:rsidP="0050406C">
            <w:pPr>
              <w:jc w:val="lef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732D89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【講義スケジュール（Lecture Schedule）】</w:t>
            </w:r>
            <w:r w:rsidRPr="00732D89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 xml:space="preserve">　</w:t>
            </w:r>
            <w:r w:rsidRPr="007226DB">
              <w:rPr>
                <w:rFonts w:ascii="Meiryo UI" w:eastAsia="Meiryo UI" w:hAnsi="Meiryo UI" w:cs="Meiryo UI"/>
                <w:sz w:val="20"/>
                <w:szCs w:val="20"/>
              </w:rPr>
              <w:t>力（compulsory input</w:t>
            </w:r>
            <w:r w:rsidRPr="007226DB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）</w:t>
            </w:r>
            <w:r w:rsidRPr="007226DB">
              <w:rPr>
                <w:rFonts w:ascii="Meiryo UI" w:eastAsia="Meiryo UI" w:hAnsi="Meiryo UI" w:cs="Meiryo UI"/>
                <w:sz w:val="20"/>
                <w:szCs w:val="20"/>
              </w:rPr>
              <w:t>（全角2,000字以内）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7226DB" w:rsidRDefault="008B21A4" w:rsidP="00DD366E">
            <w:pPr>
              <w:rPr>
                <w:b w:val="0"/>
              </w:rPr>
            </w:pPr>
            <w:r>
              <w:rPr>
                <w:rFonts w:hint="eastAsia"/>
              </w:rPr>
              <w:t xml:space="preserve">　</w:t>
            </w:r>
            <w:r w:rsidR="00DE3C9E" w:rsidRPr="007226DB">
              <w:t>The following schedule may change depending on the progress of the class.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Week 1: Course introduction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2: </w:t>
            </w:r>
            <w:r w:rsidR="001D58F7">
              <w:t>Overview (1)</w:t>
            </w:r>
            <w:r w:rsidR="00C0776D">
              <w:t xml:space="preserve"> – What is physical communication?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3: </w:t>
            </w:r>
            <w:r w:rsidR="00C0776D">
              <w:t>Overview (</w:t>
            </w:r>
            <w:r w:rsidR="00C0776D">
              <w:t>2</w:t>
            </w:r>
            <w:r w:rsidR="00C0776D">
              <w:t>)</w:t>
            </w:r>
            <w:r w:rsidR="00C0776D">
              <w:t xml:space="preserve"> – Classification of physical communication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4: </w:t>
            </w:r>
            <w:r w:rsidR="00C0776D">
              <w:t>Overview (</w:t>
            </w:r>
            <w:r w:rsidR="00C0776D">
              <w:rPr>
                <w:rFonts w:hint="eastAsia"/>
              </w:rPr>
              <w:t>3</w:t>
            </w:r>
            <w:r w:rsidR="00C0776D">
              <w:t>)</w:t>
            </w:r>
            <w:r w:rsidR="00C0776D">
              <w:t xml:space="preserve"> – </w:t>
            </w:r>
            <w:r w:rsidR="00C0776D">
              <w:rPr>
                <w:rFonts w:hint="eastAsia"/>
              </w:rPr>
              <w:t>Significance of</w:t>
            </w:r>
            <w:r w:rsidR="00C0776D">
              <w:t xml:space="preserve"> physical communication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5: </w:t>
            </w:r>
            <w:r w:rsidR="00C0776D">
              <w:t xml:space="preserve">Dances </w:t>
            </w:r>
            <w:r w:rsidRPr="007226DB">
              <w:t>as information</w:t>
            </w:r>
            <w:r w:rsidR="00C0776D">
              <w:t xml:space="preserve"> media</w:t>
            </w:r>
            <w:r w:rsidRPr="007226DB">
              <w:t xml:space="preserve"> </w:t>
            </w:r>
            <w:r w:rsidR="00C0776D">
              <w:t xml:space="preserve">(1) </w:t>
            </w:r>
            <w:r w:rsidRPr="007226DB">
              <w:t xml:space="preserve">– </w:t>
            </w:r>
            <w:r w:rsidR="00C0776D">
              <w:t>Variety of dances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6: </w:t>
            </w:r>
            <w:r w:rsidR="00C0776D">
              <w:t xml:space="preserve">Dances </w:t>
            </w:r>
            <w:r w:rsidR="00C0776D" w:rsidRPr="007226DB">
              <w:t>as information</w:t>
            </w:r>
            <w:r w:rsidR="00C0776D">
              <w:t xml:space="preserve"> media</w:t>
            </w:r>
            <w:r w:rsidR="00C0776D" w:rsidRPr="007226DB">
              <w:t xml:space="preserve"> </w:t>
            </w:r>
            <w:r w:rsidR="00C0776D">
              <w:t>(</w:t>
            </w:r>
            <w:r w:rsidR="00C0776D">
              <w:t>2</w:t>
            </w:r>
            <w:r w:rsidR="00C0776D">
              <w:t xml:space="preserve">) </w:t>
            </w:r>
            <w:r w:rsidR="00C0776D" w:rsidRPr="007226DB">
              <w:t xml:space="preserve">– </w:t>
            </w:r>
            <w:r w:rsidR="008B21A4">
              <w:rPr>
                <w:rFonts w:hint="eastAsia"/>
              </w:rPr>
              <w:t>Expression</w:t>
            </w:r>
            <w:r w:rsidR="008B21A4">
              <w:t xml:space="preserve"> and representaion</w:t>
            </w:r>
            <w:r w:rsidR="00C0776D">
              <w:t xml:space="preserve"> of dances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7: </w:t>
            </w:r>
            <w:r w:rsidR="00C0776D">
              <w:t xml:space="preserve">Dances </w:t>
            </w:r>
            <w:r w:rsidR="00C0776D" w:rsidRPr="007226DB">
              <w:t>as information</w:t>
            </w:r>
            <w:r w:rsidR="00C0776D">
              <w:t xml:space="preserve"> media</w:t>
            </w:r>
            <w:r w:rsidR="00C0776D" w:rsidRPr="007226DB">
              <w:t xml:space="preserve"> </w:t>
            </w:r>
            <w:r w:rsidR="00C0776D">
              <w:t>(</w:t>
            </w:r>
            <w:r w:rsidR="00C0776D">
              <w:t>3</w:t>
            </w:r>
            <w:r w:rsidR="00C0776D">
              <w:t xml:space="preserve">) </w:t>
            </w:r>
            <w:r w:rsidR="00C0776D" w:rsidRPr="007226DB">
              <w:t xml:space="preserve">– </w:t>
            </w:r>
            <w:r w:rsidR="008B21A4">
              <w:t>Classical ballet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8: </w:t>
            </w:r>
            <w:r w:rsidR="00C0776D">
              <w:t xml:space="preserve">Dances </w:t>
            </w:r>
            <w:r w:rsidR="00C0776D" w:rsidRPr="007226DB">
              <w:t>as information</w:t>
            </w:r>
            <w:r w:rsidR="00C0776D">
              <w:t xml:space="preserve"> media</w:t>
            </w:r>
            <w:r w:rsidR="00C0776D" w:rsidRPr="007226DB">
              <w:t xml:space="preserve"> </w:t>
            </w:r>
            <w:r w:rsidR="00C0776D">
              <w:t>(</w:t>
            </w:r>
            <w:r w:rsidR="00C0776D">
              <w:t>4</w:t>
            </w:r>
            <w:r w:rsidR="00C0776D">
              <w:t xml:space="preserve">) </w:t>
            </w:r>
            <w:r w:rsidR="00C0776D" w:rsidRPr="007226DB">
              <w:t xml:space="preserve">– </w:t>
            </w:r>
            <w:r w:rsidR="008B21A4">
              <w:t>Contemporary dance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9: </w:t>
            </w:r>
            <w:r w:rsidR="00C0776D">
              <w:t xml:space="preserve">Dances </w:t>
            </w:r>
            <w:r w:rsidR="00C0776D" w:rsidRPr="007226DB">
              <w:t>as information</w:t>
            </w:r>
            <w:r w:rsidR="00C0776D">
              <w:t xml:space="preserve"> media</w:t>
            </w:r>
            <w:r w:rsidR="00C0776D" w:rsidRPr="007226DB">
              <w:t xml:space="preserve"> </w:t>
            </w:r>
            <w:r w:rsidR="00C0776D">
              <w:t>(</w:t>
            </w:r>
            <w:r w:rsidR="00C0776D">
              <w:t>5</w:t>
            </w:r>
            <w:r w:rsidR="00C0776D">
              <w:t xml:space="preserve">) </w:t>
            </w:r>
            <w:r w:rsidR="00C0776D" w:rsidRPr="007226DB">
              <w:t xml:space="preserve">– </w:t>
            </w:r>
            <w:r w:rsidR="008B21A4">
              <w:t xml:space="preserve">Special class by </w:t>
            </w:r>
            <w:r w:rsidR="008B21A4">
              <w:rPr>
                <w:rFonts w:hint="eastAsia"/>
              </w:rPr>
              <w:t>v</w:t>
            </w:r>
            <w:r w:rsidR="008B21A4">
              <w:t>isiting lecturer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10: </w:t>
            </w:r>
            <w:r w:rsidR="008B21A4">
              <w:t xml:space="preserve">Human body and digital society </w:t>
            </w:r>
            <w:r w:rsidRPr="007226DB">
              <w:t>(1) –</w:t>
            </w:r>
            <w:r w:rsidR="008B21A4">
              <w:t xml:space="preserve"> </w:t>
            </w:r>
            <w:r w:rsidR="00453170">
              <w:t>Changes of s</w:t>
            </w:r>
            <w:r w:rsidR="008B21A4">
              <w:t>omatic sensation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11: </w:t>
            </w:r>
            <w:r w:rsidR="00453170">
              <w:t xml:space="preserve">Human body and digital society </w:t>
            </w:r>
            <w:r w:rsidR="00453170" w:rsidRPr="007226DB">
              <w:t>(</w:t>
            </w:r>
            <w:r w:rsidR="00453170">
              <w:t>2</w:t>
            </w:r>
            <w:r w:rsidR="00453170" w:rsidRPr="007226DB">
              <w:t>) –</w:t>
            </w:r>
            <w:r w:rsidR="00453170">
              <w:t xml:space="preserve"> C</w:t>
            </w:r>
            <w:r w:rsidR="00453170">
              <w:t>G, VFX, and VR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12: </w:t>
            </w:r>
            <w:r w:rsidR="00453170">
              <w:t xml:space="preserve">Human body and digital society </w:t>
            </w:r>
            <w:r w:rsidR="00453170" w:rsidRPr="007226DB">
              <w:t>(</w:t>
            </w:r>
            <w:r w:rsidR="00453170">
              <w:t>3</w:t>
            </w:r>
            <w:r w:rsidR="00453170" w:rsidRPr="007226DB">
              <w:t>) –</w:t>
            </w:r>
            <w:r w:rsidR="00453170">
              <w:t xml:space="preserve"> </w:t>
            </w:r>
            <w:r w:rsidR="00453170">
              <w:t>Robotics and Biotechnology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13: </w:t>
            </w:r>
            <w:r w:rsidR="00453170">
              <w:t>Nonverbal communication</w:t>
            </w:r>
            <w:r w:rsidRPr="007226DB">
              <w:t xml:space="preserve"> (1) – </w:t>
            </w:r>
            <w:r w:rsidR="00453170">
              <w:t>Variety of nonverbal factors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Week 14: </w:t>
            </w:r>
            <w:r w:rsidR="00453170">
              <w:t>Nonverbal communication</w:t>
            </w:r>
            <w:r w:rsidR="00453170" w:rsidRPr="007226DB">
              <w:t xml:space="preserve"> (1) – </w:t>
            </w:r>
            <w:r w:rsidR="00453170">
              <w:t>Gesture, eyes, and body touch</w:t>
            </w:r>
          </w:p>
          <w:p w:rsidR="00DE3C9E" w:rsidRPr="007226DB" w:rsidRDefault="00DE3C9E" w:rsidP="00453170">
            <w:pPr>
              <w:rPr>
                <w:b w:val="0"/>
              </w:rPr>
            </w:pPr>
            <w:r w:rsidRPr="007226DB">
              <w:t xml:space="preserve">Week 15: </w:t>
            </w:r>
            <w:r w:rsidR="00453170">
              <w:t>Nonverbal communication</w:t>
            </w:r>
            <w:r w:rsidR="00453170" w:rsidRPr="007226DB">
              <w:t xml:space="preserve"> (1) – </w:t>
            </w:r>
            <w:r w:rsidR="00453170">
              <w:rPr>
                <w:rFonts w:hint="eastAsia"/>
              </w:rPr>
              <w:t>Proxemics</w:t>
            </w:r>
            <w:r w:rsidR="00453170">
              <w:t xml:space="preserve"> and paralanguage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840FB2" w:rsidRDefault="00375C7F" w:rsidP="0050406C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163FF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【指導方法（Instructional Method）】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力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7226DB" w:rsidRDefault="00DE3C9E" w:rsidP="00DD366E">
            <w:r w:rsidRPr="007226DB">
              <w:t>The course will be conducted through lectures</w:t>
            </w:r>
            <w:r w:rsidR="009E7EF3">
              <w:t xml:space="preserve"> in Japanese</w:t>
            </w:r>
            <w:r w:rsidRPr="007226DB">
              <w:t>. Handouts and slides will be used in class. ToyoNet-Ace is used for keeping track of attendance, reaction papers, and mini tests.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840FB2" w:rsidRDefault="00375C7F" w:rsidP="0050406C">
            <w:pPr>
              <w:jc w:val="lef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【</w:t>
            </w:r>
            <w:r w:rsidRPr="00163FF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事前・事後学習（Supplemental Individual Study）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7226DB" w:rsidRDefault="00DE3C9E" w:rsidP="009E7EF3">
            <w:pPr>
              <w:rPr>
                <w:b w:val="0"/>
              </w:rPr>
            </w:pPr>
            <w:r w:rsidRPr="007226DB">
              <w:t>Students are r</w:t>
            </w:r>
            <w:r w:rsidR="009E7EF3">
              <w:t>ecommended to read books about physical communication</w:t>
            </w:r>
            <w:r w:rsidRPr="007226DB">
              <w:t>. They are also expected to review what they learned after each session.</w:t>
            </w:r>
          </w:p>
        </w:tc>
      </w:tr>
    </w:tbl>
    <w:p w:rsidR="00DE3C9E" w:rsidRPr="007226DB" w:rsidRDefault="00DE3C9E" w:rsidP="00DE3C9E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69522D" w:rsidRDefault="00375C7F" w:rsidP="0050406C">
            <w:pPr>
              <w:jc w:val="lef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163FF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【成績評価の方法・基準（Grading Criteria and Method of Evaluation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1. </w:t>
            </w:r>
            <w:r w:rsidR="009E7EF3">
              <w:t>Short papers</w:t>
            </w:r>
            <w:r w:rsidRPr="007226DB">
              <w:t>. (</w:t>
            </w:r>
            <w:r w:rsidR="009E7EF3">
              <w:t>twice, 10</w:t>
            </w:r>
            <w:r w:rsidRPr="007226DB">
              <w:t>%)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 xml:space="preserve">2. </w:t>
            </w:r>
            <w:r w:rsidR="009E7EF3">
              <w:t>Papers</w:t>
            </w:r>
            <w:r w:rsidRPr="007226DB">
              <w:t>. (</w:t>
            </w:r>
            <w:r w:rsidR="009E7EF3">
              <w:t>three times, 75</w:t>
            </w:r>
            <w:r w:rsidRPr="007226DB">
              <w:t>%)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3. Attendance and participation in class. (1</w:t>
            </w:r>
            <w:r w:rsidR="009E7EF3">
              <w:t>5</w:t>
            </w:r>
            <w:r w:rsidRPr="007226DB">
              <w:t>%)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4. Grades are assigned in accordance with university regulations.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7226DB" w:rsidRDefault="00375C7F" w:rsidP="0050406C">
            <w:pPr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</w:pPr>
            <w:r w:rsidRPr="00163FF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lastRenderedPageBreak/>
              <w:t>【受講要件（Requirement of Attendance）】</w:t>
            </w:r>
            <w:r w:rsidR="00A20D56">
              <w:rPr>
                <w:rFonts w:ascii="Meiryo UI" w:eastAsia="Meiryo UI" w:hAnsi="Meiryo UI" w:cs="Meiryo UI"/>
                <w:sz w:val="20"/>
                <w:szCs w:val="20"/>
              </w:rPr>
              <w:t>c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rFonts w:hint="eastAsia"/>
                <w:b w:val="0"/>
              </w:rPr>
            </w:pPr>
            <w:r w:rsidRPr="007226DB">
              <w:t>Nothing in particular.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69522D" w:rsidRDefault="00375C7F" w:rsidP="0050406C">
            <w:pPr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</w:pPr>
            <w:r w:rsidRPr="00163FFD">
              <w:rPr>
                <w:rFonts w:eastAsia="ＭＳ ゴシック" w:hAnsi="ＭＳ ゴシック"/>
                <w:color w:val="auto"/>
                <w:sz w:val="20"/>
                <w:szCs w:val="20"/>
              </w:rPr>
              <w:t>【テキスト（</w:t>
            </w:r>
            <w:r w:rsidRPr="00163FFD">
              <w:rPr>
                <w:rFonts w:eastAsia="ＭＳ ゴシック"/>
                <w:color w:val="auto"/>
                <w:sz w:val="20"/>
                <w:szCs w:val="20"/>
              </w:rPr>
              <w:t>Textbooks</w:t>
            </w:r>
            <w:r w:rsidRPr="00163FFD">
              <w:rPr>
                <w:rFonts w:eastAsia="ＭＳ ゴシック" w:hAnsi="ＭＳ ゴシック"/>
                <w:color w:val="auto"/>
                <w:sz w:val="20"/>
                <w:szCs w:val="20"/>
              </w:rPr>
              <w:t>）】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Handouts are distributed as necessary.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69522D" w:rsidRDefault="00375C7F" w:rsidP="0050406C">
            <w:pPr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</w:pPr>
            <w:r w:rsidRPr="00163FFD">
              <w:rPr>
                <w:rFonts w:eastAsia="ＭＳ ゴシック" w:hAnsi="ＭＳ ゴシック"/>
                <w:color w:val="auto"/>
                <w:sz w:val="20"/>
                <w:szCs w:val="20"/>
              </w:rPr>
              <w:t>【参考書（</w:t>
            </w:r>
            <w:r w:rsidRPr="00163FFD">
              <w:rPr>
                <w:rFonts w:eastAsia="ＭＳ ゴシック"/>
                <w:color w:val="auto"/>
                <w:sz w:val="20"/>
                <w:szCs w:val="20"/>
              </w:rPr>
              <w:t>Reference Books</w:t>
            </w:r>
            <w:r w:rsidRPr="00163FFD">
              <w:rPr>
                <w:rFonts w:eastAsia="ＭＳ ゴシック" w:hAnsi="ＭＳ ゴシック"/>
                <w:color w:val="auto"/>
                <w:sz w:val="20"/>
                <w:szCs w:val="20"/>
              </w:rPr>
              <w:t>）】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Reference books for topics will be introduced as necessary.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7226DB" w:rsidRDefault="00375C7F" w:rsidP="0050406C">
            <w:pPr>
              <w:jc w:val="left"/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</w:pP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【関連分野・関連科目（</w:t>
            </w:r>
            <w:r w:rsidRPr="00DB5D2D">
              <w:rPr>
                <w:rFonts w:eastAsia="ＭＳ ゴシック"/>
                <w:color w:val="auto"/>
                <w:sz w:val="20"/>
                <w:szCs w:val="20"/>
              </w:rPr>
              <w:t>Related Fields and Subject</w:t>
            </w: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）】</w:t>
            </w:r>
            <w:r w:rsidRPr="007226DB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E3C9E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8248"/>
            </w:tblGrid>
            <w:tr w:rsidR="00375C7F" w:rsidRPr="007226DB" w:rsidTr="005040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2" w:type="dxa"/>
                  <w:shd w:val="clear" w:color="auto" w:fill="auto"/>
                </w:tcPr>
                <w:p w:rsidR="00375C7F" w:rsidRPr="007226DB" w:rsidRDefault="00375C7F" w:rsidP="0050406C">
                  <w:pPr>
                    <w:jc w:val="left"/>
                    <w:rPr>
                      <w:rFonts w:ascii="Meiryo UI" w:eastAsia="Meiryo UI" w:hAnsi="Meiryo UI" w:cs="Meiryo UI" w:hint="eastAsia"/>
                      <w:color w:val="auto"/>
                      <w:sz w:val="20"/>
                      <w:szCs w:val="20"/>
                    </w:rPr>
                  </w:pPr>
                  <w:r w:rsidRPr="00DB5D2D">
                    <w:rPr>
                      <w:rFonts w:eastAsia="ＭＳ ゴシック" w:hAnsi="ＭＳ ゴシック"/>
                      <w:color w:val="auto"/>
                      <w:sz w:val="20"/>
                      <w:szCs w:val="20"/>
                    </w:rPr>
                    <w:t>【備考（</w:t>
                  </w:r>
                  <w:r w:rsidRPr="00DB5D2D">
                    <w:rPr>
                      <w:rFonts w:eastAsia="ＭＳ ゴシック"/>
                      <w:color w:val="auto"/>
                      <w:sz w:val="20"/>
                      <w:szCs w:val="20"/>
                    </w:rPr>
                    <w:t>Note</w:t>
                  </w:r>
                  <w:r>
                    <w:rPr>
                      <w:rFonts w:eastAsia="ＭＳ ゴシック" w:hAnsi="ＭＳ ゴシック"/>
                      <w:color w:val="auto"/>
                      <w:sz w:val="20"/>
                      <w:szCs w:val="20"/>
                    </w:rPr>
                    <w:t>）</w:t>
                  </w:r>
                  <w:r>
                    <w:rPr>
                      <w:rFonts w:eastAsia="ＭＳ ゴシック" w:hAnsi="ＭＳ ゴシック" w:hint="eastAsia"/>
                      <w:color w:val="auto"/>
                      <w:sz w:val="20"/>
                      <w:szCs w:val="20"/>
                    </w:rPr>
                    <w:t>】</w:t>
                  </w:r>
                  <w:r w:rsidRPr="007226DB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E3C9E" w:rsidRPr="00375C7F" w:rsidRDefault="00DE3C9E" w:rsidP="00DD366E">
            <w:pPr>
              <w:ind w:firstLineChars="100" w:firstLine="200"/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69522D" w:rsidRDefault="00375C7F" w:rsidP="0050406C">
            <w:pPr>
              <w:ind w:right="200"/>
              <w:jc w:val="left"/>
              <w:rPr>
                <w:rFonts w:eastAsia="ＭＳ ゴシック" w:hAnsi="ＭＳ ゴシック" w:hint="eastAsia"/>
                <w:color w:val="auto"/>
                <w:sz w:val="20"/>
                <w:szCs w:val="20"/>
              </w:rPr>
            </w:pP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【</w:t>
            </w:r>
            <w:r w:rsidRPr="00DB5D2D">
              <w:rPr>
                <w:rFonts w:eastAsia="ＭＳ ゴシック" w:hAnsi="ＭＳ ゴシック" w:hint="eastAsia"/>
                <w:color w:val="auto"/>
                <w:sz w:val="20"/>
                <w:szCs w:val="20"/>
              </w:rPr>
              <w:t>添付ファイル</w:t>
            </w: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（</w:t>
            </w:r>
            <w:r w:rsidRPr="00DB5D2D">
              <w:rPr>
                <w:rFonts w:eastAsia="ＭＳ ゴシック" w:hAnsi="ＭＳ ゴシック" w:hint="eastAsia"/>
                <w:color w:val="auto"/>
                <w:sz w:val="20"/>
                <w:szCs w:val="20"/>
              </w:rPr>
              <w:t>Attachment File</w:t>
            </w: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）】</w:t>
            </w:r>
            <w:r w:rsidRPr="007226DB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  <w:r w:rsidRPr="007226DB">
              <w:rPr>
                <w:rFonts w:eastAsia="ＭＳ ゴシック" w:hAnsi="ＭＳ ゴシック"/>
                <w:sz w:val="20"/>
                <w:szCs w:val="20"/>
              </w:rPr>
              <w:t>【添付ファイル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１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（</w:t>
            </w:r>
            <w:r w:rsidRPr="007226DB">
              <w:rPr>
                <w:rFonts w:eastAsia="ＭＳ ゴシック"/>
                <w:sz w:val="20"/>
                <w:szCs w:val="20"/>
              </w:rPr>
              <w:t>File No.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１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）】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rPr>
                <w:rFonts w:eastAsia="ＭＳ ゴシック" w:hAnsi="ＭＳ ゴシック"/>
                <w:sz w:val="20"/>
                <w:szCs w:val="20"/>
              </w:rPr>
              <w:t>【添付ファイル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２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（</w:t>
            </w:r>
            <w:r w:rsidRPr="007226DB">
              <w:rPr>
                <w:rFonts w:eastAsia="ＭＳ ゴシック"/>
                <w:sz w:val="20"/>
                <w:szCs w:val="20"/>
              </w:rPr>
              <w:t>File No.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２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）】</w:t>
            </w:r>
          </w:p>
          <w:p w:rsidR="00DE3C9E" w:rsidRPr="007226DB" w:rsidRDefault="00DE3C9E" w:rsidP="00DD366E">
            <w:pPr>
              <w:rPr>
                <w:b w:val="0"/>
              </w:rPr>
            </w:pPr>
            <w:r w:rsidRPr="007226DB">
              <w:rPr>
                <w:rFonts w:eastAsia="ＭＳ ゴシック" w:hAnsi="ＭＳ ゴシック"/>
                <w:sz w:val="20"/>
                <w:szCs w:val="20"/>
              </w:rPr>
              <w:t>【添付ファイル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３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（</w:t>
            </w:r>
            <w:r w:rsidRPr="007226DB">
              <w:rPr>
                <w:rFonts w:eastAsia="ＭＳ ゴシック"/>
                <w:sz w:val="20"/>
                <w:szCs w:val="20"/>
              </w:rPr>
              <w:t>File No.</w:t>
            </w:r>
            <w:r w:rsidRPr="007226DB">
              <w:rPr>
                <w:rFonts w:eastAsia="ＭＳ ゴシック" w:hint="eastAsia"/>
                <w:sz w:val="20"/>
                <w:szCs w:val="20"/>
              </w:rPr>
              <w:t>３</w:t>
            </w:r>
            <w:r w:rsidRPr="007226DB">
              <w:rPr>
                <w:rFonts w:eastAsia="ＭＳ ゴシック" w:hAnsi="ＭＳ ゴシック"/>
                <w:sz w:val="20"/>
                <w:szCs w:val="20"/>
              </w:rPr>
              <w:t>）】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75C7F" w:rsidRPr="007226DB" w:rsidTr="00DD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uto"/>
          </w:tcPr>
          <w:p w:rsidR="00375C7F" w:rsidRPr="0069522D" w:rsidRDefault="00375C7F" w:rsidP="0050406C">
            <w:pPr>
              <w:ind w:right="200"/>
              <w:jc w:val="left"/>
              <w:rPr>
                <w:rFonts w:eastAsia="ＭＳ ゴシック" w:hAnsi="ＭＳ ゴシック" w:hint="eastAsia"/>
                <w:color w:val="auto"/>
                <w:sz w:val="20"/>
                <w:szCs w:val="20"/>
              </w:rPr>
            </w:pP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【リンク（</w:t>
            </w:r>
            <w:r w:rsidRPr="00DB5D2D">
              <w:rPr>
                <w:rFonts w:eastAsia="ＭＳ ゴシック"/>
                <w:color w:val="auto"/>
                <w:sz w:val="20"/>
                <w:szCs w:val="20"/>
              </w:rPr>
              <w:t>URL Links</w:t>
            </w:r>
            <w:r w:rsidRPr="00DB5D2D">
              <w:rPr>
                <w:rFonts w:eastAsia="ＭＳ ゴシック" w:hAnsi="ＭＳ ゴシック"/>
                <w:color w:val="auto"/>
                <w:sz w:val="20"/>
                <w:szCs w:val="20"/>
              </w:rPr>
              <w:t>）】</w:t>
            </w:r>
            <w:r w:rsidRPr="007226DB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DE3C9E" w:rsidRPr="007226DB" w:rsidTr="00DD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DE3C9E" w:rsidRPr="007226DB" w:rsidRDefault="00DE3C9E" w:rsidP="00DD366E">
            <w:pPr>
              <w:rPr>
                <w:b w:val="0"/>
              </w:rPr>
            </w:pPr>
            <w:r w:rsidRPr="007226DB">
              <w:t>http://bibliognost.net/umino/</w:t>
            </w:r>
          </w:p>
        </w:tc>
      </w:tr>
    </w:tbl>
    <w:p w:rsidR="00DE3C9E" w:rsidRPr="007226DB" w:rsidRDefault="00DE3C9E" w:rsidP="00DE3C9E">
      <w:pPr>
        <w:widowControl/>
        <w:jc w:val="left"/>
      </w:pPr>
    </w:p>
    <w:p w:rsidR="008E52D1" w:rsidRPr="00DE3C9E" w:rsidRDefault="008E52D1" w:rsidP="00DE3C9E"/>
    <w:sectPr w:rsidR="008E52D1" w:rsidRPr="00DE3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51" w:rsidRDefault="00332151" w:rsidP="000041D2">
      <w:r>
        <w:separator/>
      </w:r>
    </w:p>
  </w:endnote>
  <w:endnote w:type="continuationSeparator" w:id="0">
    <w:p w:rsidR="00332151" w:rsidRDefault="00332151" w:rsidP="0000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51" w:rsidRDefault="00332151" w:rsidP="000041D2">
      <w:r>
        <w:separator/>
      </w:r>
    </w:p>
  </w:footnote>
  <w:footnote w:type="continuationSeparator" w:id="0">
    <w:p w:rsidR="00332151" w:rsidRDefault="00332151" w:rsidP="0000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7"/>
    <w:rsid w:val="000041D2"/>
    <w:rsid w:val="000B1E47"/>
    <w:rsid w:val="00185634"/>
    <w:rsid w:val="00187A59"/>
    <w:rsid w:val="001D58F7"/>
    <w:rsid w:val="002F55D5"/>
    <w:rsid w:val="00332151"/>
    <w:rsid w:val="00375C7F"/>
    <w:rsid w:val="00453170"/>
    <w:rsid w:val="00606CDE"/>
    <w:rsid w:val="006A65D1"/>
    <w:rsid w:val="008B21A4"/>
    <w:rsid w:val="008E52D1"/>
    <w:rsid w:val="009E7EF3"/>
    <w:rsid w:val="00A20D56"/>
    <w:rsid w:val="00AD755A"/>
    <w:rsid w:val="00C0776D"/>
    <w:rsid w:val="00CE4160"/>
    <w:rsid w:val="00D82067"/>
    <w:rsid w:val="00DE3C9E"/>
    <w:rsid w:val="00EE7DD8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D76B0"/>
  <w15:docId w15:val="{88094845-9262-4C03-979D-1F113956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D2"/>
  </w:style>
  <w:style w:type="paragraph" w:styleId="a5">
    <w:name w:val="footer"/>
    <w:basedOn w:val="a"/>
    <w:link w:val="a6"/>
    <w:uiPriority w:val="99"/>
    <w:unhideWhenUsed/>
    <w:rsid w:val="00004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D2"/>
  </w:style>
  <w:style w:type="table" w:styleId="a7">
    <w:name w:val="Table Grid"/>
    <w:basedOn w:val="a1"/>
    <w:uiPriority w:val="59"/>
    <w:rsid w:val="0000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041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東洋大学</dc:creator>
  <cp:keywords/>
  <dc:description/>
  <cp:lastModifiedBy>umino</cp:lastModifiedBy>
  <cp:revision>6</cp:revision>
  <dcterms:created xsi:type="dcterms:W3CDTF">2018-01-23T07:45:00Z</dcterms:created>
  <dcterms:modified xsi:type="dcterms:W3CDTF">2018-01-23T08:36:00Z</dcterms:modified>
</cp:coreProperties>
</file>